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BAF" w:rsidRDefault="00122BAF" w:rsidP="00122BAF">
      <w:pPr>
        <w:spacing w:before="1"/>
        <w:ind w:left="1888"/>
        <w:jc w:val="center"/>
        <w:rPr>
          <w:sz w:val="24"/>
        </w:rPr>
      </w:pPr>
      <w:r>
        <w:t xml:space="preserve">TECHNICAL SPECIFICATION </w:t>
      </w:r>
      <w:r>
        <w:rPr>
          <w:sz w:val="24"/>
        </w:rPr>
        <w:t>Nut and Bolts of assorted sizes</w:t>
      </w:r>
    </w:p>
    <w:p w:rsidR="00122BAF" w:rsidRDefault="00122BAF" w:rsidP="00122BAF">
      <w:pPr>
        <w:pStyle w:val="BodyText"/>
        <w:rPr>
          <w:sz w:val="26"/>
        </w:rPr>
      </w:pPr>
    </w:p>
    <w:p w:rsidR="00122BAF" w:rsidRDefault="00122BAF" w:rsidP="00122BAF">
      <w:pPr>
        <w:pStyle w:val="BodyText"/>
        <w:spacing w:before="2"/>
        <w:rPr>
          <w:sz w:val="30"/>
        </w:rPr>
      </w:pPr>
    </w:p>
    <w:p w:rsidR="00122BAF" w:rsidRDefault="00122BAF" w:rsidP="00122BAF">
      <w:pPr>
        <w:pStyle w:val="ListParagraph"/>
        <w:numPr>
          <w:ilvl w:val="1"/>
          <w:numId w:val="3"/>
        </w:numPr>
        <w:tabs>
          <w:tab w:val="left" w:pos="1102"/>
        </w:tabs>
        <w:ind w:hanging="385"/>
        <w:rPr>
          <w:rFonts w:ascii="Tahoma"/>
          <w:sz w:val="24"/>
        </w:rPr>
      </w:pPr>
      <w:r>
        <w:rPr>
          <w:rFonts w:ascii="Tahoma"/>
          <w:sz w:val="24"/>
          <w:u w:val="single"/>
        </w:rPr>
        <w:t>SCOPE:</w:t>
      </w:r>
    </w:p>
    <w:p w:rsidR="00122BAF" w:rsidRDefault="00122BAF" w:rsidP="00122BAF">
      <w:pPr>
        <w:pStyle w:val="BodyText"/>
        <w:rPr>
          <w:rFonts w:ascii="Tahoma"/>
          <w:sz w:val="26"/>
        </w:rPr>
      </w:pPr>
      <w:r>
        <w:br w:type="column"/>
      </w:r>
    </w:p>
    <w:p w:rsidR="00122BAF" w:rsidRDefault="00122BAF" w:rsidP="00122BAF">
      <w:pPr>
        <w:pStyle w:val="BodyText"/>
        <w:rPr>
          <w:rFonts w:ascii="Tahoma"/>
          <w:sz w:val="26"/>
        </w:rPr>
      </w:pPr>
    </w:p>
    <w:p w:rsidR="00122BAF" w:rsidRDefault="00122BAF" w:rsidP="00122BAF">
      <w:pPr>
        <w:pStyle w:val="BodyText"/>
        <w:spacing w:before="4"/>
        <w:rPr>
          <w:rFonts w:ascii="Tahoma"/>
          <w:sz w:val="33"/>
        </w:rPr>
      </w:pPr>
    </w:p>
    <w:p w:rsidR="00122BAF" w:rsidRDefault="00122BAF" w:rsidP="00122BAF">
      <w:pPr>
        <w:ind w:left="142"/>
        <w:rPr>
          <w:b/>
          <w:sz w:val="24"/>
        </w:rPr>
      </w:pPr>
      <w:r>
        <w:rPr>
          <w:b/>
          <w:sz w:val="24"/>
          <w:u w:val="thick"/>
        </w:rPr>
        <w:t>Annexure – ‘B’</w:t>
      </w:r>
    </w:p>
    <w:p w:rsidR="00122BAF" w:rsidRDefault="00122BAF" w:rsidP="00122BAF">
      <w:pPr>
        <w:rPr>
          <w:sz w:val="24"/>
        </w:rPr>
        <w:sectPr w:rsidR="00122BAF">
          <w:pgSz w:w="11910" w:h="16840"/>
          <w:pgMar w:top="640" w:right="600" w:bottom="280" w:left="860" w:header="720" w:footer="720" w:gutter="0"/>
          <w:cols w:num="2" w:space="720" w:equalWidth="0">
            <w:col w:w="8586" w:space="40"/>
            <w:col w:w="1824"/>
          </w:cols>
        </w:sectPr>
      </w:pPr>
    </w:p>
    <w:p w:rsidR="00122BAF" w:rsidRDefault="00122BAF" w:rsidP="00122BAF">
      <w:pPr>
        <w:pStyle w:val="BodyText"/>
        <w:spacing w:before="5"/>
        <w:rPr>
          <w:b/>
          <w:sz w:val="16"/>
        </w:rPr>
      </w:pPr>
    </w:p>
    <w:p w:rsidR="00122BAF" w:rsidRDefault="00122BAF" w:rsidP="00122BAF">
      <w:pPr>
        <w:pStyle w:val="BodyText"/>
        <w:spacing w:before="91" w:line="276" w:lineRule="auto"/>
        <w:ind w:left="1797" w:right="293" w:hanging="720"/>
        <w:jc w:val="both"/>
      </w:pPr>
      <w:r>
        <w:t xml:space="preserve">(a.) Manufacturing Testing and supply of M.S. Bolts 5.6-Class Hexagonal Head Round Neck with Hexagonal Nuts (class-5) with one spring washers and one flat washer confirming to IS: 1363/84,IS:3063/94,IS:2016/67 with latest amendments if any. The bolts shall </w:t>
      </w:r>
      <w:proofErr w:type="gramStart"/>
      <w:r>
        <w:t>be  full</w:t>
      </w:r>
      <w:proofErr w:type="gramEnd"/>
      <w:r>
        <w:t xml:space="preserve">  threated if length is less than 100mm and half threaded for greater than 100mm. ISI marked and Washers shall conform to IS: 2016/1967 with latest amendments if</w:t>
      </w:r>
      <w:r>
        <w:rPr>
          <w:spacing w:val="5"/>
        </w:rPr>
        <w:t xml:space="preserve"> </w:t>
      </w:r>
      <w:r>
        <w:t>any.</w:t>
      </w:r>
    </w:p>
    <w:p w:rsidR="00122BAF" w:rsidRDefault="00122BAF" w:rsidP="00122BAF">
      <w:pPr>
        <w:spacing w:before="6" w:line="276" w:lineRule="auto"/>
        <w:ind w:left="1797" w:right="296" w:hanging="720"/>
        <w:jc w:val="both"/>
      </w:pPr>
      <w:r>
        <w:t xml:space="preserve">(b.) Manufacturing Testing and supply of Eye Bolt </w:t>
      </w:r>
      <w:r>
        <w:rPr>
          <w:rFonts w:ascii="Calibri" w:hAnsi="Calibri"/>
          <w:sz w:val="24"/>
        </w:rPr>
        <w:t xml:space="preserve">with two bolts along with Spring and Plain Washer </w:t>
      </w:r>
      <w:r>
        <w:t>conforming to IS: 2062, Grade-‘A’.</w:t>
      </w:r>
    </w:p>
    <w:p w:rsidR="00122BAF" w:rsidRDefault="00122BAF" w:rsidP="00122BAF">
      <w:pPr>
        <w:pStyle w:val="BodyText"/>
        <w:spacing w:before="194"/>
        <w:ind w:left="1077" w:right="434"/>
      </w:pPr>
      <w:r>
        <w:t>Note: - All the Nut and Bolts and Eye Bolt shall be Hot Dip Galvanized as per slandered and Technical IS.</w:t>
      </w:r>
    </w:p>
    <w:p w:rsidR="00122BAF" w:rsidRDefault="00122BAF" w:rsidP="00122BAF">
      <w:pPr>
        <w:pStyle w:val="BodyText"/>
        <w:spacing w:before="1"/>
        <w:rPr>
          <w:sz w:val="29"/>
        </w:rPr>
      </w:pPr>
    </w:p>
    <w:p w:rsidR="00122BAF" w:rsidRDefault="00122BAF" w:rsidP="00122BAF">
      <w:pPr>
        <w:pStyle w:val="ListParagraph"/>
        <w:numPr>
          <w:ilvl w:val="1"/>
          <w:numId w:val="3"/>
        </w:numPr>
        <w:tabs>
          <w:tab w:val="left" w:pos="1049"/>
        </w:tabs>
        <w:ind w:left="1048" w:hanging="332"/>
      </w:pPr>
      <w:r>
        <w:rPr>
          <w:u w:val="single"/>
        </w:rPr>
        <w:t>PACKING:</w:t>
      </w:r>
    </w:p>
    <w:p w:rsidR="00122BAF" w:rsidRDefault="00122BAF" w:rsidP="00122BAF">
      <w:pPr>
        <w:pStyle w:val="BodyText"/>
        <w:spacing w:before="11"/>
        <w:rPr>
          <w:sz w:val="19"/>
        </w:rPr>
      </w:pPr>
    </w:p>
    <w:p w:rsidR="00122BAF" w:rsidRDefault="00122BAF" w:rsidP="00122BAF">
      <w:pPr>
        <w:pStyle w:val="BodyText"/>
        <w:spacing w:before="91" w:line="273" w:lineRule="auto"/>
        <w:ind w:left="1077" w:right="434"/>
      </w:pPr>
      <w:r>
        <w:t xml:space="preserve">The Nuts with one spring washer and one flat washer duly assembled shall be packed in new double </w:t>
      </w:r>
      <w:r>
        <w:rPr>
          <w:position w:val="1"/>
        </w:rPr>
        <w:t xml:space="preserve">jute / woven polythene bags and each pack shall contain maximum </w:t>
      </w:r>
      <w:r>
        <w:t>50 Kgs. Net weight.</w:t>
      </w:r>
    </w:p>
    <w:p w:rsidR="00122BAF" w:rsidRDefault="00122BAF" w:rsidP="00122BAF">
      <w:pPr>
        <w:pStyle w:val="BodyText"/>
        <w:spacing w:before="6"/>
        <w:rPr>
          <w:sz w:val="25"/>
        </w:rPr>
      </w:pPr>
    </w:p>
    <w:p w:rsidR="00122BAF" w:rsidRDefault="00122BAF" w:rsidP="00122BAF">
      <w:pPr>
        <w:pStyle w:val="ListParagraph"/>
        <w:numPr>
          <w:ilvl w:val="1"/>
          <w:numId w:val="3"/>
        </w:numPr>
        <w:tabs>
          <w:tab w:val="left" w:pos="1049"/>
        </w:tabs>
        <w:spacing w:before="1"/>
        <w:ind w:left="1048" w:hanging="332"/>
      </w:pPr>
      <w:r>
        <w:rPr>
          <w:u w:val="single"/>
        </w:rPr>
        <w:t>ISILICENSE:</w:t>
      </w:r>
    </w:p>
    <w:p w:rsidR="00122BAF" w:rsidRDefault="00122BAF" w:rsidP="00122BAF">
      <w:pPr>
        <w:pStyle w:val="BodyText"/>
        <w:spacing w:before="6"/>
        <w:rPr>
          <w:sz w:val="16"/>
        </w:rPr>
      </w:pPr>
    </w:p>
    <w:p w:rsidR="00122BAF" w:rsidRDefault="00122BAF" w:rsidP="00122BAF">
      <w:pPr>
        <w:pStyle w:val="BodyText"/>
        <w:spacing w:before="94" w:line="237" w:lineRule="auto"/>
        <w:ind w:left="1077" w:right="293"/>
        <w:jc w:val="both"/>
      </w:pPr>
      <w:r>
        <w:t xml:space="preserve">Notarized Xerox copy of valid ISI marking license shall be submitted with the tender. If </w:t>
      </w:r>
      <w:proofErr w:type="gramStart"/>
      <w:r>
        <w:t>ISI  License</w:t>
      </w:r>
      <w:proofErr w:type="gramEnd"/>
      <w:r>
        <w:t xml:space="preserve">  is not submitted, the offer of the tenderer will be ignored. If validity of license has expired and if tenderer has applied for extension in validity, the Xerox copy </w:t>
      </w:r>
      <w:proofErr w:type="gramStart"/>
      <w:r>
        <w:t>duly  attested</w:t>
      </w:r>
      <w:proofErr w:type="gramEnd"/>
      <w:r>
        <w:t xml:space="preserve">  by  Govt.  </w:t>
      </w:r>
      <w:proofErr w:type="gramStart"/>
      <w:r>
        <w:t>Gazette  Officer</w:t>
      </w:r>
      <w:proofErr w:type="gramEnd"/>
      <w:r>
        <w:t xml:space="preserve"> of acknowledgement of Bureau of Indian Standards for application in validity shall be submitted with the</w:t>
      </w:r>
      <w:r>
        <w:rPr>
          <w:spacing w:val="41"/>
        </w:rPr>
        <w:t xml:space="preserve"> </w:t>
      </w:r>
      <w:r>
        <w:t>tender.</w:t>
      </w:r>
    </w:p>
    <w:p w:rsidR="00122BAF" w:rsidRDefault="00122BAF" w:rsidP="00122BAF">
      <w:pPr>
        <w:pStyle w:val="BodyText"/>
        <w:rPr>
          <w:sz w:val="26"/>
        </w:rPr>
      </w:pPr>
    </w:p>
    <w:p w:rsidR="00122BAF" w:rsidRDefault="00122BAF" w:rsidP="00122BAF">
      <w:pPr>
        <w:pStyle w:val="BodyText"/>
        <w:spacing w:line="252" w:lineRule="exact"/>
        <w:ind w:left="717"/>
      </w:pPr>
      <w:r>
        <w:t xml:space="preserve">5. </w:t>
      </w:r>
      <w:r>
        <w:rPr>
          <w:u w:val="single"/>
        </w:rPr>
        <w:t>Test Certificates:</w:t>
      </w:r>
    </w:p>
    <w:p w:rsidR="00122BAF" w:rsidRDefault="00122BAF" w:rsidP="00122BAF">
      <w:pPr>
        <w:pStyle w:val="BodyText"/>
        <w:ind w:left="1077" w:right="2361"/>
      </w:pPr>
      <w:r>
        <w:t>Successful tenderers should agree to give test certificates in triplicate as per ISS: 1363/84 with latest amendments if any.</w:t>
      </w:r>
    </w:p>
    <w:p w:rsidR="00122BAF" w:rsidRDefault="00122BAF" w:rsidP="00122BAF">
      <w:pPr>
        <w:pStyle w:val="BodyText"/>
        <w:rPr>
          <w:sz w:val="20"/>
        </w:rPr>
      </w:pPr>
    </w:p>
    <w:p w:rsidR="00122BAF" w:rsidRDefault="00122BAF" w:rsidP="00122BAF">
      <w:pPr>
        <w:pStyle w:val="BodyText"/>
        <w:spacing w:before="6"/>
        <w:rPr>
          <w:sz w:val="13"/>
        </w:rPr>
      </w:pPr>
    </w:p>
    <w:tbl>
      <w:tblPr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"/>
        <w:gridCol w:w="4537"/>
        <w:gridCol w:w="3118"/>
      </w:tblGrid>
      <w:tr w:rsidR="00122BAF" w:rsidTr="00127EE5">
        <w:trPr>
          <w:trHeight w:val="258"/>
        </w:trPr>
        <w:tc>
          <w:tcPr>
            <w:tcW w:w="963" w:type="dxa"/>
          </w:tcPr>
          <w:p w:rsidR="00122BAF" w:rsidRDefault="00122BAF" w:rsidP="00127EE5">
            <w:pPr>
              <w:pStyle w:val="TableParagraph"/>
              <w:spacing w:line="238" w:lineRule="exact"/>
              <w:ind w:left="110"/>
              <w:rPr>
                <w:b/>
              </w:rPr>
            </w:pPr>
            <w:r>
              <w:rPr>
                <w:b/>
              </w:rPr>
              <w:t>SL No.</w:t>
            </w:r>
          </w:p>
        </w:tc>
        <w:tc>
          <w:tcPr>
            <w:tcW w:w="4537" w:type="dxa"/>
          </w:tcPr>
          <w:p w:rsidR="00122BAF" w:rsidRDefault="00122BAF" w:rsidP="00127EE5">
            <w:pPr>
              <w:pStyle w:val="TableParagraph"/>
              <w:spacing w:before="2" w:line="237" w:lineRule="exact"/>
            </w:pPr>
            <w:r>
              <w:t>Particulars</w:t>
            </w:r>
          </w:p>
        </w:tc>
        <w:tc>
          <w:tcPr>
            <w:tcW w:w="3118" w:type="dxa"/>
          </w:tcPr>
          <w:p w:rsidR="00122BAF" w:rsidRDefault="00122BAF" w:rsidP="00127EE5">
            <w:pPr>
              <w:pStyle w:val="TableParagraph"/>
              <w:spacing w:before="2" w:line="237" w:lineRule="exact"/>
            </w:pPr>
            <w:r>
              <w:t>Guaranteed value</w:t>
            </w:r>
          </w:p>
        </w:tc>
      </w:tr>
      <w:tr w:rsidR="00122BAF" w:rsidTr="00127EE5">
        <w:trPr>
          <w:trHeight w:val="1320"/>
        </w:trPr>
        <w:tc>
          <w:tcPr>
            <w:tcW w:w="963" w:type="dxa"/>
          </w:tcPr>
          <w:p w:rsidR="00122BAF" w:rsidRDefault="00122BAF" w:rsidP="00127EE5">
            <w:pPr>
              <w:pStyle w:val="TableParagraph"/>
              <w:spacing w:before="2"/>
              <w:ind w:left="11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37" w:type="dxa"/>
          </w:tcPr>
          <w:p w:rsidR="00122BAF" w:rsidRDefault="00122BAF" w:rsidP="00127EE5">
            <w:pPr>
              <w:pStyle w:val="TableParagraph"/>
              <w:spacing w:before="4" w:line="247" w:lineRule="auto"/>
              <w:ind w:right="103"/>
            </w:pPr>
            <w:r>
              <w:t>Specification &amp; standards for Galvanized Bolts &amp; Nuts(Black)</w:t>
            </w:r>
          </w:p>
        </w:tc>
        <w:tc>
          <w:tcPr>
            <w:tcW w:w="3118" w:type="dxa"/>
          </w:tcPr>
          <w:p w:rsidR="00122BAF" w:rsidRDefault="00122BAF" w:rsidP="00127EE5">
            <w:pPr>
              <w:pStyle w:val="TableParagraph"/>
              <w:spacing w:before="4" w:line="247" w:lineRule="auto"/>
            </w:pPr>
            <w:r>
              <w:t>As per IS 1363(part 1 &amp; 3) IS: 1367( part 3 &amp; 6)</w:t>
            </w:r>
          </w:p>
          <w:p w:rsidR="00122BAF" w:rsidRDefault="00122BAF" w:rsidP="00127EE5">
            <w:pPr>
              <w:pStyle w:val="TableParagraph"/>
              <w:spacing w:line="253" w:lineRule="exact"/>
            </w:pPr>
            <w:r>
              <w:t>IS: 1367 (part 17) &amp; other</w:t>
            </w:r>
          </w:p>
          <w:p w:rsidR="00122BAF" w:rsidRDefault="00122BAF" w:rsidP="00127EE5">
            <w:pPr>
              <w:pStyle w:val="TableParagraph"/>
              <w:spacing w:before="2" w:line="260" w:lineRule="atLeast"/>
            </w:pPr>
            <w:r>
              <w:t>Relevant standards with latest amendments.</w:t>
            </w:r>
          </w:p>
        </w:tc>
      </w:tr>
      <w:tr w:rsidR="00122BAF" w:rsidTr="00127EE5">
        <w:trPr>
          <w:trHeight w:val="522"/>
        </w:trPr>
        <w:tc>
          <w:tcPr>
            <w:tcW w:w="963" w:type="dxa"/>
          </w:tcPr>
          <w:p w:rsidR="00122BAF" w:rsidRDefault="00122BAF" w:rsidP="00127EE5">
            <w:pPr>
              <w:pStyle w:val="TableParagraph"/>
              <w:spacing w:line="238" w:lineRule="exact"/>
              <w:ind w:left="11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537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>Property class:</w:t>
            </w:r>
          </w:p>
        </w:tc>
        <w:tc>
          <w:tcPr>
            <w:tcW w:w="3118" w:type="dxa"/>
          </w:tcPr>
          <w:p w:rsidR="00122BAF" w:rsidRDefault="00122BAF" w:rsidP="00127EE5">
            <w:pPr>
              <w:pStyle w:val="TableParagraph"/>
              <w:ind w:left="0"/>
            </w:pPr>
          </w:p>
        </w:tc>
      </w:tr>
      <w:tr w:rsidR="00122BAF" w:rsidTr="00127EE5">
        <w:trPr>
          <w:trHeight w:val="544"/>
        </w:trPr>
        <w:tc>
          <w:tcPr>
            <w:tcW w:w="963" w:type="dxa"/>
          </w:tcPr>
          <w:p w:rsidR="00122BAF" w:rsidRDefault="00122BAF" w:rsidP="00127EE5">
            <w:pPr>
              <w:pStyle w:val="TableParagraph"/>
              <w:ind w:left="0"/>
            </w:pPr>
          </w:p>
        </w:tc>
        <w:tc>
          <w:tcPr>
            <w:tcW w:w="4537" w:type="dxa"/>
          </w:tcPr>
          <w:p w:rsidR="00122BAF" w:rsidRDefault="00122BAF" w:rsidP="00122BAF">
            <w:pPr>
              <w:pStyle w:val="TableParagraph"/>
              <w:numPr>
                <w:ilvl w:val="0"/>
                <w:numId w:val="2"/>
              </w:numPr>
              <w:tabs>
                <w:tab w:val="left" w:pos="780"/>
              </w:tabs>
              <w:spacing w:before="2" w:line="252" w:lineRule="exact"/>
              <w:ind w:hanging="313"/>
            </w:pPr>
            <w:r>
              <w:t>For</w:t>
            </w:r>
            <w:r>
              <w:rPr>
                <w:spacing w:val="-5"/>
              </w:rPr>
              <w:t xml:space="preserve"> </w:t>
            </w:r>
            <w:r>
              <w:t>Bolts</w:t>
            </w:r>
          </w:p>
          <w:p w:rsidR="00122BAF" w:rsidRDefault="00122BAF" w:rsidP="00122BAF">
            <w:pPr>
              <w:pStyle w:val="TableParagraph"/>
              <w:numPr>
                <w:ilvl w:val="0"/>
                <w:numId w:val="2"/>
              </w:numPr>
              <w:tabs>
                <w:tab w:val="left" w:pos="792"/>
              </w:tabs>
              <w:spacing w:line="252" w:lineRule="exact"/>
              <w:ind w:left="791" w:hanging="325"/>
            </w:pPr>
            <w:r>
              <w:t>For</w:t>
            </w:r>
            <w:r>
              <w:rPr>
                <w:spacing w:val="-4"/>
              </w:rPr>
              <w:t xml:space="preserve"> </w:t>
            </w:r>
            <w:r>
              <w:t>Nuts</w:t>
            </w:r>
          </w:p>
        </w:tc>
        <w:tc>
          <w:tcPr>
            <w:tcW w:w="3118" w:type="dxa"/>
          </w:tcPr>
          <w:p w:rsidR="00122BAF" w:rsidRDefault="00122BAF" w:rsidP="00127EE5">
            <w:pPr>
              <w:pStyle w:val="TableParagraph"/>
              <w:spacing w:before="2" w:line="252" w:lineRule="exact"/>
            </w:pPr>
            <w:r>
              <w:t>4.6</w:t>
            </w:r>
          </w:p>
          <w:p w:rsidR="00122BAF" w:rsidRDefault="00122BAF" w:rsidP="00127EE5">
            <w:pPr>
              <w:pStyle w:val="TableParagraph"/>
              <w:spacing w:line="252" w:lineRule="exact"/>
            </w:pPr>
            <w:r>
              <w:t>5</w:t>
            </w:r>
          </w:p>
        </w:tc>
      </w:tr>
      <w:tr w:rsidR="00122BAF" w:rsidTr="00127EE5">
        <w:trPr>
          <w:trHeight w:val="541"/>
        </w:trPr>
        <w:tc>
          <w:tcPr>
            <w:tcW w:w="963" w:type="dxa"/>
          </w:tcPr>
          <w:p w:rsidR="00122BAF" w:rsidRDefault="00122BAF" w:rsidP="00127EE5">
            <w:pPr>
              <w:pStyle w:val="TableParagraph"/>
              <w:spacing w:line="238" w:lineRule="exact"/>
              <w:ind w:left="11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537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>Tolerance</w:t>
            </w:r>
          </w:p>
        </w:tc>
        <w:tc>
          <w:tcPr>
            <w:tcW w:w="3118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>As per ISS</w:t>
            </w:r>
          </w:p>
        </w:tc>
      </w:tr>
      <w:tr w:rsidR="00122BAF" w:rsidTr="00127EE5">
        <w:trPr>
          <w:trHeight w:val="544"/>
        </w:trPr>
        <w:tc>
          <w:tcPr>
            <w:tcW w:w="963" w:type="dxa"/>
          </w:tcPr>
          <w:p w:rsidR="00122BAF" w:rsidRDefault="00122BAF" w:rsidP="00127EE5">
            <w:pPr>
              <w:pStyle w:val="TableParagraph"/>
              <w:spacing w:line="238" w:lineRule="exact"/>
              <w:ind w:left="11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537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>Raw material</w:t>
            </w:r>
          </w:p>
        </w:tc>
        <w:tc>
          <w:tcPr>
            <w:tcW w:w="3118" w:type="dxa"/>
          </w:tcPr>
          <w:p w:rsidR="00122BAF" w:rsidRDefault="00122BAF" w:rsidP="00127EE5">
            <w:pPr>
              <w:pStyle w:val="TableParagraph"/>
              <w:ind w:left="0"/>
            </w:pPr>
          </w:p>
        </w:tc>
      </w:tr>
      <w:tr w:rsidR="00122BAF" w:rsidTr="00127EE5">
        <w:trPr>
          <w:trHeight w:val="786"/>
        </w:trPr>
        <w:tc>
          <w:tcPr>
            <w:tcW w:w="963" w:type="dxa"/>
          </w:tcPr>
          <w:p w:rsidR="00122BAF" w:rsidRDefault="00122BAF" w:rsidP="00127EE5">
            <w:pPr>
              <w:pStyle w:val="TableParagraph"/>
              <w:ind w:left="0"/>
            </w:pPr>
          </w:p>
        </w:tc>
        <w:tc>
          <w:tcPr>
            <w:tcW w:w="4537" w:type="dxa"/>
          </w:tcPr>
          <w:p w:rsidR="00122BAF" w:rsidRDefault="00122BAF" w:rsidP="00122BAF">
            <w:pPr>
              <w:pStyle w:val="TableParagraph"/>
              <w:numPr>
                <w:ilvl w:val="0"/>
                <w:numId w:val="1"/>
              </w:numPr>
              <w:tabs>
                <w:tab w:val="left" w:pos="780"/>
              </w:tabs>
              <w:spacing w:before="2"/>
              <w:ind w:hanging="313"/>
            </w:pPr>
            <w:r>
              <w:t>Grade</w:t>
            </w:r>
          </w:p>
          <w:p w:rsidR="00122BAF" w:rsidRDefault="00122BAF" w:rsidP="00122BAF">
            <w:pPr>
              <w:pStyle w:val="TableParagraph"/>
              <w:numPr>
                <w:ilvl w:val="0"/>
                <w:numId w:val="1"/>
              </w:numPr>
              <w:tabs>
                <w:tab w:val="left" w:pos="790"/>
              </w:tabs>
              <w:spacing w:before="6"/>
              <w:ind w:left="789" w:hanging="323"/>
            </w:pPr>
            <w:r>
              <w:t>Type of steel</w:t>
            </w:r>
            <w:r>
              <w:rPr>
                <w:spacing w:val="3"/>
              </w:rPr>
              <w:t xml:space="preserve"> </w:t>
            </w:r>
            <w:r>
              <w:t>used</w:t>
            </w:r>
          </w:p>
        </w:tc>
        <w:tc>
          <w:tcPr>
            <w:tcW w:w="3118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>As per IS</w:t>
            </w:r>
            <w:r>
              <w:rPr>
                <w:spacing w:val="-5"/>
              </w:rPr>
              <w:t xml:space="preserve"> </w:t>
            </w:r>
            <w:r>
              <w:t>:2062</w:t>
            </w:r>
          </w:p>
          <w:p w:rsidR="00122BAF" w:rsidRDefault="00122BAF" w:rsidP="00127EE5">
            <w:pPr>
              <w:pStyle w:val="TableParagraph"/>
              <w:spacing w:before="2" w:line="262" w:lineRule="exact"/>
              <w:ind w:right="503"/>
            </w:pPr>
            <w:r>
              <w:t>Low Carbon Steel(Grade</w:t>
            </w:r>
            <w:r>
              <w:rPr>
                <w:spacing w:val="-14"/>
              </w:rPr>
              <w:t xml:space="preserve"> </w:t>
            </w:r>
            <w:r>
              <w:t>C) as per IS : 2062</w:t>
            </w:r>
          </w:p>
        </w:tc>
      </w:tr>
    </w:tbl>
    <w:p w:rsidR="00122BAF" w:rsidRDefault="00122BAF" w:rsidP="00122BAF">
      <w:pPr>
        <w:spacing w:line="262" w:lineRule="exact"/>
        <w:sectPr w:rsidR="00122BAF">
          <w:type w:val="continuous"/>
          <w:pgSz w:w="11910" w:h="16840"/>
          <w:pgMar w:top="640" w:right="600" w:bottom="280" w:left="860" w:header="720" w:footer="720" w:gutter="0"/>
          <w:cols w:space="720"/>
        </w:sectPr>
      </w:pPr>
    </w:p>
    <w:tbl>
      <w:tblPr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"/>
        <w:gridCol w:w="4537"/>
        <w:gridCol w:w="3118"/>
      </w:tblGrid>
      <w:tr w:rsidR="00122BAF" w:rsidTr="00127EE5">
        <w:trPr>
          <w:trHeight w:val="544"/>
        </w:trPr>
        <w:tc>
          <w:tcPr>
            <w:tcW w:w="963" w:type="dxa"/>
          </w:tcPr>
          <w:p w:rsidR="00122BAF" w:rsidRDefault="00122BAF" w:rsidP="00127EE5">
            <w:pPr>
              <w:pStyle w:val="TableParagraph"/>
              <w:spacing w:before="2"/>
              <w:ind w:left="110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4537" w:type="dxa"/>
          </w:tcPr>
          <w:p w:rsidR="00122BAF" w:rsidRDefault="00122BAF" w:rsidP="00127EE5">
            <w:pPr>
              <w:pStyle w:val="TableParagraph"/>
              <w:spacing w:before="2"/>
              <w:ind w:left="172"/>
            </w:pPr>
            <w:r>
              <w:t>Chemical composition (%)</w:t>
            </w:r>
          </w:p>
        </w:tc>
        <w:tc>
          <w:tcPr>
            <w:tcW w:w="3118" w:type="dxa"/>
          </w:tcPr>
          <w:p w:rsidR="00122BAF" w:rsidRDefault="00122BAF" w:rsidP="00127EE5">
            <w:pPr>
              <w:pStyle w:val="TableParagraph"/>
              <w:ind w:left="0"/>
            </w:pPr>
          </w:p>
        </w:tc>
      </w:tr>
      <w:tr w:rsidR="00122BAF" w:rsidTr="00127EE5">
        <w:trPr>
          <w:trHeight w:val="541"/>
        </w:trPr>
        <w:tc>
          <w:tcPr>
            <w:tcW w:w="963" w:type="dxa"/>
          </w:tcPr>
          <w:p w:rsidR="00122BAF" w:rsidRDefault="00122BAF" w:rsidP="00127EE5">
            <w:pPr>
              <w:pStyle w:val="TableParagraph"/>
              <w:ind w:left="0"/>
            </w:pPr>
          </w:p>
        </w:tc>
        <w:tc>
          <w:tcPr>
            <w:tcW w:w="4537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>a) For Hexagonal bolts:</w:t>
            </w:r>
          </w:p>
        </w:tc>
        <w:tc>
          <w:tcPr>
            <w:tcW w:w="3118" w:type="dxa"/>
          </w:tcPr>
          <w:p w:rsidR="00122BAF" w:rsidRDefault="00122BAF" w:rsidP="00127EE5">
            <w:pPr>
              <w:pStyle w:val="TableParagraph"/>
              <w:ind w:left="0"/>
            </w:pPr>
          </w:p>
        </w:tc>
      </w:tr>
      <w:tr w:rsidR="00122BAF" w:rsidTr="00127EE5">
        <w:trPr>
          <w:trHeight w:val="544"/>
        </w:trPr>
        <w:tc>
          <w:tcPr>
            <w:tcW w:w="963" w:type="dxa"/>
          </w:tcPr>
          <w:p w:rsidR="00122BAF" w:rsidRDefault="00122BAF" w:rsidP="00127EE5">
            <w:pPr>
              <w:pStyle w:val="TableParagraph"/>
              <w:ind w:left="0"/>
            </w:pPr>
          </w:p>
        </w:tc>
        <w:tc>
          <w:tcPr>
            <w:tcW w:w="4537" w:type="dxa"/>
          </w:tcPr>
          <w:p w:rsidR="00122BAF" w:rsidRDefault="00122BAF" w:rsidP="00127EE5">
            <w:pPr>
              <w:pStyle w:val="TableParagraph"/>
              <w:spacing w:before="2"/>
            </w:pPr>
            <w:proofErr w:type="spellStart"/>
            <w:r>
              <w:t>i</w:t>
            </w:r>
            <w:proofErr w:type="spellEnd"/>
            <w:r>
              <w:t>) Carbon (Max.)</w:t>
            </w:r>
          </w:p>
        </w:tc>
        <w:tc>
          <w:tcPr>
            <w:tcW w:w="3118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>0.55%</w:t>
            </w:r>
          </w:p>
        </w:tc>
      </w:tr>
      <w:tr w:rsidR="00122BAF" w:rsidTr="00127EE5">
        <w:trPr>
          <w:trHeight w:val="541"/>
        </w:trPr>
        <w:tc>
          <w:tcPr>
            <w:tcW w:w="963" w:type="dxa"/>
          </w:tcPr>
          <w:p w:rsidR="00122BAF" w:rsidRDefault="00122BAF" w:rsidP="00127EE5">
            <w:pPr>
              <w:pStyle w:val="TableParagraph"/>
              <w:ind w:left="0"/>
            </w:pPr>
          </w:p>
        </w:tc>
        <w:tc>
          <w:tcPr>
            <w:tcW w:w="4537" w:type="dxa"/>
          </w:tcPr>
          <w:p w:rsidR="00122BAF" w:rsidRDefault="00122BAF" w:rsidP="00127EE5">
            <w:pPr>
              <w:pStyle w:val="TableParagraph"/>
              <w:spacing w:before="2"/>
            </w:pPr>
            <w:proofErr w:type="gramStart"/>
            <w:r>
              <w:t>ii</w:t>
            </w:r>
            <w:proofErr w:type="gramEnd"/>
            <w:r>
              <w:t>) Phosphorous (</w:t>
            </w:r>
            <w:proofErr w:type="spellStart"/>
            <w:r>
              <w:t>Maxm</w:t>
            </w:r>
            <w:proofErr w:type="spellEnd"/>
            <w:r>
              <w:t>.)</w:t>
            </w:r>
          </w:p>
        </w:tc>
        <w:tc>
          <w:tcPr>
            <w:tcW w:w="3118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>0.05%</w:t>
            </w:r>
          </w:p>
        </w:tc>
      </w:tr>
      <w:tr w:rsidR="00122BAF" w:rsidTr="00127EE5">
        <w:trPr>
          <w:trHeight w:val="544"/>
        </w:trPr>
        <w:tc>
          <w:tcPr>
            <w:tcW w:w="963" w:type="dxa"/>
          </w:tcPr>
          <w:p w:rsidR="00122BAF" w:rsidRDefault="00122BAF" w:rsidP="00127EE5">
            <w:pPr>
              <w:pStyle w:val="TableParagraph"/>
              <w:ind w:left="0"/>
            </w:pPr>
          </w:p>
        </w:tc>
        <w:tc>
          <w:tcPr>
            <w:tcW w:w="4537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>iii) Sulphur (</w:t>
            </w:r>
            <w:proofErr w:type="spellStart"/>
            <w:r>
              <w:t>Maxm</w:t>
            </w:r>
            <w:proofErr w:type="spellEnd"/>
            <w:r>
              <w:t>.)</w:t>
            </w:r>
          </w:p>
        </w:tc>
        <w:tc>
          <w:tcPr>
            <w:tcW w:w="3118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>0.06%</w:t>
            </w:r>
          </w:p>
        </w:tc>
      </w:tr>
      <w:tr w:rsidR="00122BAF" w:rsidTr="00127EE5">
        <w:trPr>
          <w:trHeight w:val="541"/>
        </w:trPr>
        <w:tc>
          <w:tcPr>
            <w:tcW w:w="963" w:type="dxa"/>
          </w:tcPr>
          <w:p w:rsidR="00122BAF" w:rsidRDefault="00122BAF" w:rsidP="00127EE5">
            <w:pPr>
              <w:pStyle w:val="TableParagraph"/>
              <w:ind w:left="0"/>
            </w:pPr>
          </w:p>
        </w:tc>
        <w:tc>
          <w:tcPr>
            <w:tcW w:w="4537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>b) For Hexagonal nuts:</w:t>
            </w:r>
          </w:p>
        </w:tc>
        <w:tc>
          <w:tcPr>
            <w:tcW w:w="3118" w:type="dxa"/>
          </w:tcPr>
          <w:p w:rsidR="00122BAF" w:rsidRDefault="00122BAF" w:rsidP="00127EE5">
            <w:pPr>
              <w:pStyle w:val="TableParagraph"/>
              <w:ind w:left="0"/>
            </w:pPr>
          </w:p>
        </w:tc>
      </w:tr>
      <w:tr w:rsidR="00122BAF" w:rsidTr="00127EE5">
        <w:trPr>
          <w:trHeight w:val="544"/>
        </w:trPr>
        <w:tc>
          <w:tcPr>
            <w:tcW w:w="963" w:type="dxa"/>
          </w:tcPr>
          <w:p w:rsidR="00122BAF" w:rsidRDefault="00122BAF" w:rsidP="00127EE5">
            <w:pPr>
              <w:pStyle w:val="TableParagraph"/>
              <w:ind w:left="0"/>
            </w:pPr>
          </w:p>
        </w:tc>
        <w:tc>
          <w:tcPr>
            <w:tcW w:w="4537" w:type="dxa"/>
          </w:tcPr>
          <w:p w:rsidR="00122BAF" w:rsidRDefault="00122BAF" w:rsidP="00127EE5">
            <w:pPr>
              <w:pStyle w:val="TableParagraph"/>
              <w:spacing w:before="2"/>
            </w:pPr>
            <w:proofErr w:type="spellStart"/>
            <w:r>
              <w:t>i</w:t>
            </w:r>
            <w:proofErr w:type="spellEnd"/>
            <w:r>
              <w:t>) Carbon (</w:t>
            </w:r>
            <w:proofErr w:type="spellStart"/>
            <w:r>
              <w:t>Maxm</w:t>
            </w:r>
            <w:proofErr w:type="spellEnd"/>
            <w:r>
              <w:t>.)</w:t>
            </w:r>
          </w:p>
        </w:tc>
        <w:tc>
          <w:tcPr>
            <w:tcW w:w="3118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>0.50%</w:t>
            </w:r>
          </w:p>
        </w:tc>
      </w:tr>
      <w:tr w:rsidR="00122BAF" w:rsidTr="00127EE5">
        <w:trPr>
          <w:trHeight w:val="541"/>
        </w:trPr>
        <w:tc>
          <w:tcPr>
            <w:tcW w:w="963" w:type="dxa"/>
          </w:tcPr>
          <w:p w:rsidR="00122BAF" w:rsidRDefault="00122BAF" w:rsidP="00127EE5">
            <w:pPr>
              <w:pStyle w:val="TableParagraph"/>
              <w:ind w:left="0"/>
            </w:pPr>
          </w:p>
        </w:tc>
        <w:tc>
          <w:tcPr>
            <w:tcW w:w="4537" w:type="dxa"/>
          </w:tcPr>
          <w:p w:rsidR="00122BAF" w:rsidRDefault="00122BAF" w:rsidP="00127EE5">
            <w:pPr>
              <w:pStyle w:val="TableParagraph"/>
              <w:spacing w:before="2"/>
            </w:pPr>
            <w:proofErr w:type="gramStart"/>
            <w:r>
              <w:t>ii</w:t>
            </w:r>
            <w:proofErr w:type="gramEnd"/>
            <w:r>
              <w:t>) Phosphorous(</w:t>
            </w:r>
            <w:proofErr w:type="spellStart"/>
            <w:r>
              <w:t>Maxm</w:t>
            </w:r>
            <w:proofErr w:type="spellEnd"/>
            <w:r>
              <w:t>.)</w:t>
            </w:r>
          </w:p>
        </w:tc>
        <w:tc>
          <w:tcPr>
            <w:tcW w:w="3118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>0.06%</w:t>
            </w:r>
          </w:p>
        </w:tc>
      </w:tr>
      <w:tr w:rsidR="00122BAF" w:rsidTr="00127EE5">
        <w:trPr>
          <w:trHeight w:val="544"/>
        </w:trPr>
        <w:tc>
          <w:tcPr>
            <w:tcW w:w="963" w:type="dxa"/>
          </w:tcPr>
          <w:p w:rsidR="00122BAF" w:rsidRDefault="00122BAF" w:rsidP="00127EE5">
            <w:pPr>
              <w:pStyle w:val="TableParagraph"/>
              <w:ind w:left="0"/>
            </w:pPr>
          </w:p>
        </w:tc>
        <w:tc>
          <w:tcPr>
            <w:tcW w:w="4537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>iii) Sulphur (</w:t>
            </w:r>
            <w:proofErr w:type="spellStart"/>
            <w:r>
              <w:t>Maxm</w:t>
            </w:r>
            <w:proofErr w:type="spellEnd"/>
            <w:r>
              <w:t>.)</w:t>
            </w:r>
          </w:p>
        </w:tc>
        <w:tc>
          <w:tcPr>
            <w:tcW w:w="3118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>0.15%</w:t>
            </w:r>
          </w:p>
        </w:tc>
      </w:tr>
      <w:tr w:rsidR="00122BAF" w:rsidTr="00127EE5">
        <w:trPr>
          <w:trHeight w:val="541"/>
        </w:trPr>
        <w:tc>
          <w:tcPr>
            <w:tcW w:w="963" w:type="dxa"/>
          </w:tcPr>
          <w:p w:rsidR="00122BAF" w:rsidRDefault="00122BAF" w:rsidP="00127EE5">
            <w:pPr>
              <w:pStyle w:val="TableParagraph"/>
              <w:spacing w:line="238" w:lineRule="exact"/>
              <w:ind w:left="11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537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>Mechanical properties:</w:t>
            </w:r>
          </w:p>
        </w:tc>
        <w:tc>
          <w:tcPr>
            <w:tcW w:w="3118" w:type="dxa"/>
          </w:tcPr>
          <w:p w:rsidR="00122BAF" w:rsidRDefault="00122BAF" w:rsidP="00127EE5">
            <w:pPr>
              <w:pStyle w:val="TableParagraph"/>
              <w:ind w:left="0"/>
            </w:pPr>
          </w:p>
        </w:tc>
      </w:tr>
      <w:tr w:rsidR="00122BAF" w:rsidTr="00127EE5">
        <w:trPr>
          <w:trHeight w:val="544"/>
        </w:trPr>
        <w:tc>
          <w:tcPr>
            <w:tcW w:w="963" w:type="dxa"/>
          </w:tcPr>
          <w:p w:rsidR="00122BAF" w:rsidRDefault="00122BAF" w:rsidP="00127EE5">
            <w:pPr>
              <w:pStyle w:val="TableParagraph"/>
              <w:ind w:left="0"/>
            </w:pPr>
          </w:p>
        </w:tc>
        <w:tc>
          <w:tcPr>
            <w:tcW w:w="4537" w:type="dxa"/>
          </w:tcPr>
          <w:p w:rsidR="00122BAF" w:rsidRDefault="00122BAF" w:rsidP="00127EE5">
            <w:pPr>
              <w:pStyle w:val="TableParagraph"/>
              <w:spacing w:before="2"/>
            </w:pPr>
            <w:proofErr w:type="spellStart"/>
            <w:r>
              <w:t>i</w:t>
            </w:r>
            <w:proofErr w:type="spellEnd"/>
            <w:r>
              <w:t>) For Hexagonal bolts:</w:t>
            </w:r>
          </w:p>
        </w:tc>
        <w:tc>
          <w:tcPr>
            <w:tcW w:w="3118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>As per IS: 1367( Pt. 3)</w:t>
            </w:r>
          </w:p>
        </w:tc>
      </w:tr>
      <w:tr w:rsidR="00122BAF" w:rsidTr="00127EE5">
        <w:trPr>
          <w:trHeight w:val="541"/>
        </w:trPr>
        <w:tc>
          <w:tcPr>
            <w:tcW w:w="963" w:type="dxa"/>
          </w:tcPr>
          <w:p w:rsidR="00122BAF" w:rsidRDefault="00122BAF" w:rsidP="00127EE5">
            <w:pPr>
              <w:pStyle w:val="TableParagraph"/>
              <w:ind w:left="0"/>
            </w:pPr>
          </w:p>
        </w:tc>
        <w:tc>
          <w:tcPr>
            <w:tcW w:w="4537" w:type="dxa"/>
          </w:tcPr>
          <w:p w:rsidR="00122BAF" w:rsidRDefault="00122BAF" w:rsidP="00127EE5">
            <w:pPr>
              <w:pStyle w:val="TableParagraph"/>
              <w:spacing w:before="2"/>
            </w:pPr>
            <w:proofErr w:type="gramStart"/>
            <w:r>
              <w:t>a</w:t>
            </w:r>
            <w:proofErr w:type="gramEnd"/>
            <w:r>
              <w:t xml:space="preserve">) Tensile strength N/mm Sq. </w:t>
            </w:r>
            <w:proofErr w:type="spellStart"/>
            <w:r>
              <w:t>Minm</w:t>
            </w:r>
            <w:proofErr w:type="spellEnd"/>
            <w:r>
              <w:t>.</w:t>
            </w:r>
          </w:p>
        </w:tc>
        <w:tc>
          <w:tcPr>
            <w:tcW w:w="3118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>400</w:t>
            </w:r>
          </w:p>
        </w:tc>
      </w:tr>
      <w:tr w:rsidR="00122BAF" w:rsidTr="00127EE5">
        <w:trPr>
          <w:trHeight w:val="544"/>
        </w:trPr>
        <w:tc>
          <w:tcPr>
            <w:tcW w:w="963" w:type="dxa"/>
          </w:tcPr>
          <w:p w:rsidR="00122BAF" w:rsidRDefault="00122BAF" w:rsidP="00127EE5">
            <w:pPr>
              <w:pStyle w:val="TableParagraph"/>
              <w:ind w:left="0"/>
            </w:pPr>
          </w:p>
        </w:tc>
        <w:tc>
          <w:tcPr>
            <w:tcW w:w="4537" w:type="dxa"/>
          </w:tcPr>
          <w:p w:rsidR="00122BAF" w:rsidRDefault="00122BAF" w:rsidP="00127EE5">
            <w:pPr>
              <w:pStyle w:val="TableParagraph"/>
              <w:spacing w:before="2" w:line="247" w:lineRule="auto"/>
              <w:ind w:right="652"/>
            </w:pPr>
            <w:r>
              <w:t xml:space="preserve">b) Stress under proof load N/mm </w:t>
            </w:r>
            <w:proofErr w:type="spellStart"/>
            <w:r>
              <w:t>Sq.Minm</w:t>
            </w:r>
            <w:proofErr w:type="spellEnd"/>
            <w:r>
              <w:t>.</w:t>
            </w:r>
          </w:p>
        </w:tc>
        <w:tc>
          <w:tcPr>
            <w:tcW w:w="3118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>225</w:t>
            </w:r>
          </w:p>
        </w:tc>
      </w:tr>
      <w:tr w:rsidR="00122BAF" w:rsidTr="00127EE5">
        <w:trPr>
          <w:trHeight w:val="541"/>
        </w:trPr>
        <w:tc>
          <w:tcPr>
            <w:tcW w:w="963" w:type="dxa"/>
          </w:tcPr>
          <w:p w:rsidR="00122BAF" w:rsidRDefault="00122BAF" w:rsidP="00127EE5">
            <w:pPr>
              <w:pStyle w:val="TableParagraph"/>
              <w:ind w:left="0"/>
            </w:pPr>
          </w:p>
        </w:tc>
        <w:tc>
          <w:tcPr>
            <w:tcW w:w="4537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 xml:space="preserve">c) </w:t>
            </w:r>
            <w:proofErr w:type="spellStart"/>
            <w:r>
              <w:t>Brinell</w:t>
            </w:r>
            <w:proofErr w:type="spellEnd"/>
            <w:r>
              <w:t xml:space="preserve"> Hardness HB</w:t>
            </w:r>
          </w:p>
        </w:tc>
        <w:tc>
          <w:tcPr>
            <w:tcW w:w="3118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 xml:space="preserve">114 Min. to 258 </w:t>
            </w:r>
            <w:proofErr w:type="spellStart"/>
            <w:r>
              <w:t>Maxm</w:t>
            </w:r>
            <w:proofErr w:type="spellEnd"/>
            <w:r>
              <w:t>.</w:t>
            </w:r>
          </w:p>
        </w:tc>
      </w:tr>
      <w:tr w:rsidR="00122BAF" w:rsidTr="00127EE5">
        <w:trPr>
          <w:trHeight w:val="544"/>
        </w:trPr>
        <w:tc>
          <w:tcPr>
            <w:tcW w:w="963" w:type="dxa"/>
          </w:tcPr>
          <w:p w:rsidR="00122BAF" w:rsidRDefault="00122BAF" w:rsidP="00127EE5">
            <w:pPr>
              <w:pStyle w:val="TableParagraph"/>
              <w:ind w:left="0"/>
            </w:pPr>
          </w:p>
        </w:tc>
        <w:tc>
          <w:tcPr>
            <w:tcW w:w="4537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>d) Rockwell Hard HRB</w:t>
            </w:r>
          </w:p>
        </w:tc>
        <w:tc>
          <w:tcPr>
            <w:tcW w:w="3118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>67 Min. to 99.5 Max.</w:t>
            </w:r>
          </w:p>
        </w:tc>
      </w:tr>
      <w:tr w:rsidR="00122BAF" w:rsidTr="00127EE5">
        <w:trPr>
          <w:trHeight w:val="542"/>
        </w:trPr>
        <w:tc>
          <w:tcPr>
            <w:tcW w:w="963" w:type="dxa"/>
          </w:tcPr>
          <w:p w:rsidR="00122BAF" w:rsidRDefault="00122BAF" w:rsidP="00127EE5">
            <w:pPr>
              <w:pStyle w:val="TableParagraph"/>
              <w:ind w:left="0"/>
            </w:pPr>
          </w:p>
        </w:tc>
        <w:tc>
          <w:tcPr>
            <w:tcW w:w="4537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>e) Vickers Hardness HV</w:t>
            </w:r>
          </w:p>
        </w:tc>
        <w:tc>
          <w:tcPr>
            <w:tcW w:w="3118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 xml:space="preserve">120 Min. to 250 </w:t>
            </w:r>
            <w:proofErr w:type="spellStart"/>
            <w:r>
              <w:t>Maxm</w:t>
            </w:r>
            <w:proofErr w:type="spellEnd"/>
            <w:r>
              <w:t>.</w:t>
            </w:r>
          </w:p>
        </w:tc>
      </w:tr>
      <w:tr w:rsidR="00122BAF" w:rsidTr="00127EE5">
        <w:trPr>
          <w:trHeight w:val="544"/>
        </w:trPr>
        <w:tc>
          <w:tcPr>
            <w:tcW w:w="963" w:type="dxa"/>
          </w:tcPr>
          <w:p w:rsidR="00122BAF" w:rsidRDefault="00122BAF" w:rsidP="00127EE5">
            <w:pPr>
              <w:pStyle w:val="TableParagraph"/>
              <w:ind w:left="0"/>
            </w:pPr>
          </w:p>
        </w:tc>
        <w:tc>
          <w:tcPr>
            <w:tcW w:w="4537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>f) Elongation after fracture</w:t>
            </w:r>
          </w:p>
        </w:tc>
        <w:tc>
          <w:tcPr>
            <w:tcW w:w="3118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>22%</w:t>
            </w:r>
          </w:p>
        </w:tc>
      </w:tr>
      <w:tr w:rsidR="00122BAF" w:rsidTr="00127EE5">
        <w:trPr>
          <w:trHeight w:val="541"/>
        </w:trPr>
        <w:tc>
          <w:tcPr>
            <w:tcW w:w="963" w:type="dxa"/>
          </w:tcPr>
          <w:p w:rsidR="00122BAF" w:rsidRDefault="00122BAF" w:rsidP="00127EE5">
            <w:pPr>
              <w:pStyle w:val="TableParagraph"/>
              <w:ind w:left="0"/>
            </w:pPr>
          </w:p>
        </w:tc>
        <w:tc>
          <w:tcPr>
            <w:tcW w:w="4537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 xml:space="preserve">g) Strength under </w:t>
            </w:r>
            <w:proofErr w:type="spellStart"/>
            <w:r>
              <w:t>wedg</w:t>
            </w:r>
            <w:proofErr w:type="spellEnd"/>
            <w:r>
              <w:t>. Loading N/mm</w:t>
            </w:r>
          </w:p>
          <w:p w:rsidR="00122BAF" w:rsidRDefault="00122BAF" w:rsidP="00127EE5">
            <w:pPr>
              <w:pStyle w:val="TableParagraph"/>
              <w:spacing w:before="8"/>
            </w:pPr>
            <w:proofErr w:type="spellStart"/>
            <w:r>
              <w:t>Sq.Minm</w:t>
            </w:r>
            <w:proofErr w:type="spellEnd"/>
            <w:r>
              <w:t>.</w:t>
            </w:r>
          </w:p>
        </w:tc>
        <w:tc>
          <w:tcPr>
            <w:tcW w:w="3118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>400</w:t>
            </w:r>
          </w:p>
        </w:tc>
      </w:tr>
      <w:tr w:rsidR="00122BAF" w:rsidTr="00127EE5">
        <w:trPr>
          <w:trHeight w:val="544"/>
        </w:trPr>
        <w:tc>
          <w:tcPr>
            <w:tcW w:w="963" w:type="dxa"/>
          </w:tcPr>
          <w:p w:rsidR="00122BAF" w:rsidRDefault="00122BAF" w:rsidP="00127EE5">
            <w:pPr>
              <w:pStyle w:val="TableParagraph"/>
              <w:ind w:left="0"/>
            </w:pPr>
          </w:p>
        </w:tc>
        <w:tc>
          <w:tcPr>
            <w:tcW w:w="4537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>h) Head soundness</w:t>
            </w:r>
          </w:p>
        </w:tc>
        <w:tc>
          <w:tcPr>
            <w:tcW w:w="3118" w:type="dxa"/>
          </w:tcPr>
          <w:p w:rsidR="00122BAF" w:rsidRDefault="00122BAF" w:rsidP="00127EE5">
            <w:pPr>
              <w:pStyle w:val="TableParagraph"/>
              <w:spacing w:before="2"/>
            </w:pPr>
            <w:r>
              <w:t>No Fracture</w:t>
            </w:r>
          </w:p>
        </w:tc>
      </w:tr>
    </w:tbl>
    <w:p w:rsidR="00122BAF" w:rsidRDefault="00122BAF" w:rsidP="00122BAF">
      <w:pPr>
        <w:pStyle w:val="BodyText"/>
        <w:rPr>
          <w:sz w:val="20"/>
        </w:rPr>
      </w:pPr>
    </w:p>
    <w:p w:rsidR="001E620B" w:rsidRDefault="001E620B">
      <w:bookmarkStart w:id="0" w:name="_GoBack"/>
      <w:bookmarkEnd w:id="0"/>
    </w:p>
    <w:sectPr w:rsidR="001E62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2B7C2D"/>
    <w:multiLevelType w:val="hybridMultilevel"/>
    <w:tmpl w:val="444CA5F6"/>
    <w:lvl w:ilvl="0" w:tplc="4D40F6DE">
      <w:start w:val="1"/>
      <w:numFmt w:val="decimal"/>
      <w:lvlText w:val="%1."/>
      <w:lvlJc w:val="left"/>
      <w:pPr>
        <w:ind w:left="854" w:hanging="721"/>
        <w:jc w:val="left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en-US" w:eastAsia="en-US" w:bidi="en-US"/>
      </w:rPr>
    </w:lvl>
    <w:lvl w:ilvl="1" w:tplc="3A7E3BC2">
      <w:start w:val="1"/>
      <w:numFmt w:val="decimal"/>
      <w:lvlText w:val="%2."/>
      <w:lvlJc w:val="left"/>
      <w:pPr>
        <w:ind w:left="1101" w:hanging="384"/>
        <w:jc w:val="left"/>
      </w:pPr>
      <w:rPr>
        <w:rFonts w:hint="default"/>
        <w:w w:val="100"/>
        <w:lang w:val="en-US" w:eastAsia="en-US" w:bidi="en-US"/>
      </w:rPr>
    </w:lvl>
    <w:lvl w:ilvl="2" w:tplc="106C738C">
      <w:numFmt w:val="bullet"/>
      <w:lvlText w:val="•"/>
      <w:lvlJc w:val="left"/>
      <w:pPr>
        <w:ind w:left="1931" w:hanging="384"/>
      </w:pPr>
      <w:rPr>
        <w:rFonts w:hint="default"/>
        <w:lang w:val="en-US" w:eastAsia="en-US" w:bidi="en-US"/>
      </w:rPr>
    </w:lvl>
    <w:lvl w:ilvl="3" w:tplc="36D626E0">
      <w:numFmt w:val="bullet"/>
      <w:lvlText w:val="•"/>
      <w:lvlJc w:val="left"/>
      <w:pPr>
        <w:ind w:left="2763" w:hanging="384"/>
      </w:pPr>
      <w:rPr>
        <w:rFonts w:hint="default"/>
        <w:lang w:val="en-US" w:eastAsia="en-US" w:bidi="en-US"/>
      </w:rPr>
    </w:lvl>
    <w:lvl w:ilvl="4" w:tplc="CC4AEAFE">
      <w:numFmt w:val="bullet"/>
      <w:lvlText w:val="•"/>
      <w:lvlJc w:val="left"/>
      <w:pPr>
        <w:ind w:left="3595" w:hanging="384"/>
      </w:pPr>
      <w:rPr>
        <w:rFonts w:hint="default"/>
        <w:lang w:val="en-US" w:eastAsia="en-US" w:bidi="en-US"/>
      </w:rPr>
    </w:lvl>
    <w:lvl w:ilvl="5" w:tplc="A6BC1FCC">
      <w:numFmt w:val="bullet"/>
      <w:lvlText w:val="•"/>
      <w:lvlJc w:val="left"/>
      <w:pPr>
        <w:ind w:left="4426" w:hanging="384"/>
      </w:pPr>
      <w:rPr>
        <w:rFonts w:hint="default"/>
        <w:lang w:val="en-US" w:eastAsia="en-US" w:bidi="en-US"/>
      </w:rPr>
    </w:lvl>
    <w:lvl w:ilvl="6" w:tplc="2AB26CAC">
      <w:numFmt w:val="bullet"/>
      <w:lvlText w:val="•"/>
      <w:lvlJc w:val="left"/>
      <w:pPr>
        <w:ind w:left="5258" w:hanging="384"/>
      </w:pPr>
      <w:rPr>
        <w:rFonts w:hint="default"/>
        <w:lang w:val="en-US" w:eastAsia="en-US" w:bidi="en-US"/>
      </w:rPr>
    </w:lvl>
    <w:lvl w:ilvl="7" w:tplc="7A7EA8BA">
      <w:numFmt w:val="bullet"/>
      <w:lvlText w:val="•"/>
      <w:lvlJc w:val="left"/>
      <w:pPr>
        <w:ind w:left="6090" w:hanging="384"/>
      </w:pPr>
      <w:rPr>
        <w:rFonts w:hint="default"/>
        <w:lang w:val="en-US" w:eastAsia="en-US" w:bidi="en-US"/>
      </w:rPr>
    </w:lvl>
    <w:lvl w:ilvl="8" w:tplc="7054AC42">
      <w:numFmt w:val="bullet"/>
      <w:lvlText w:val="•"/>
      <w:lvlJc w:val="left"/>
      <w:pPr>
        <w:ind w:left="6922" w:hanging="384"/>
      </w:pPr>
      <w:rPr>
        <w:rFonts w:hint="default"/>
        <w:lang w:val="en-US" w:eastAsia="en-US" w:bidi="en-US"/>
      </w:rPr>
    </w:lvl>
  </w:abstractNum>
  <w:abstractNum w:abstractNumId="1" w15:restartNumberingAfterBreak="0">
    <w:nsid w:val="2C613D2F"/>
    <w:multiLevelType w:val="hybridMultilevel"/>
    <w:tmpl w:val="05305424"/>
    <w:lvl w:ilvl="0" w:tplc="779AB962">
      <w:start w:val="1"/>
      <w:numFmt w:val="lowerLetter"/>
      <w:lvlText w:val="%1)"/>
      <w:lvlJc w:val="left"/>
      <w:pPr>
        <w:ind w:left="779" w:hanging="31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8124D75C">
      <w:numFmt w:val="bullet"/>
      <w:lvlText w:val="•"/>
      <w:lvlJc w:val="left"/>
      <w:pPr>
        <w:ind w:left="1154" w:hanging="312"/>
      </w:pPr>
      <w:rPr>
        <w:rFonts w:hint="default"/>
        <w:lang w:val="en-US" w:eastAsia="en-US" w:bidi="en-US"/>
      </w:rPr>
    </w:lvl>
    <w:lvl w:ilvl="2" w:tplc="9E8E2DDA">
      <w:numFmt w:val="bullet"/>
      <w:lvlText w:val="•"/>
      <w:lvlJc w:val="left"/>
      <w:pPr>
        <w:ind w:left="1528" w:hanging="312"/>
      </w:pPr>
      <w:rPr>
        <w:rFonts w:hint="default"/>
        <w:lang w:val="en-US" w:eastAsia="en-US" w:bidi="en-US"/>
      </w:rPr>
    </w:lvl>
    <w:lvl w:ilvl="3" w:tplc="7D56CD9C">
      <w:numFmt w:val="bullet"/>
      <w:lvlText w:val="•"/>
      <w:lvlJc w:val="left"/>
      <w:pPr>
        <w:ind w:left="1902" w:hanging="312"/>
      </w:pPr>
      <w:rPr>
        <w:rFonts w:hint="default"/>
        <w:lang w:val="en-US" w:eastAsia="en-US" w:bidi="en-US"/>
      </w:rPr>
    </w:lvl>
    <w:lvl w:ilvl="4" w:tplc="850EFEF8">
      <w:numFmt w:val="bullet"/>
      <w:lvlText w:val="•"/>
      <w:lvlJc w:val="left"/>
      <w:pPr>
        <w:ind w:left="2276" w:hanging="312"/>
      </w:pPr>
      <w:rPr>
        <w:rFonts w:hint="default"/>
        <w:lang w:val="en-US" w:eastAsia="en-US" w:bidi="en-US"/>
      </w:rPr>
    </w:lvl>
    <w:lvl w:ilvl="5" w:tplc="3CDC2F9A">
      <w:numFmt w:val="bullet"/>
      <w:lvlText w:val="•"/>
      <w:lvlJc w:val="left"/>
      <w:pPr>
        <w:ind w:left="2651" w:hanging="312"/>
      </w:pPr>
      <w:rPr>
        <w:rFonts w:hint="default"/>
        <w:lang w:val="en-US" w:eastAsia="en-US" w:bidi="en-US"/>
      </w:rPr>
    </w:lvl>
    <w:lvl w:ilvl="6" w:tplc="808E45A8">
      <w:numFmt w:val="bullet"/>
      <w:lvlText w:val="•"/>
      <w:lvlJc w:val="left"/>
      <w:pPr>
        <w:ind w:left="3025" w:hanging="312"/>
      </w:pPr>
      <w:rPr>
        <w:rFonts w:hint="default"/>
        <w:lang w:val="en-US" w:eastAsia="en-US" w:bidi="en-US"/>
      </w:rPr>
    </w:lvl>
    <w:lvl w:ilvl="7" w:tplc="BE8EC292">
      <w:numFmt w:val="bullet"/>
      <w:lvlText w:val="•"/>
      <w:lvlJc w:val="left"/>
      <w:pPr>
        <w:ind w:left="3399" w:hanging="312"/>
      </w:pPr>
      <w:rPr>
        <w:rFonts w:hint="default"/>
        <w:lang w:val="en-US" w:eastAsia="en-US" w:bidi="en-US"/>
      </w:rPr>
    </w:lvl>
    <w:lvl w:ilvl="8" w:tplc="16C4BF12">
      <w:numFmt w:val="bullet"/>
      <w:lvlText w:val="•"/>
      <w:lvlJc w:val="left"/>
      <w:pPr>
        <w:ind w:left="3773" w:hanging="312"/>
      </w:pPr>
      <w:rPr>
        <w:rFonts w:hint="default"/>
        <w:lang w:val="en-US" w:eastAsia="en-US" w:bidi="en-US"/>
      </w:rPr>
    </w:lvl>
  </w:abstractNum>
  <w:abstractNum w:abstractNumId="2" w15:restartNumberingAfterBreak="0">
    <w:nsid w:val="58CF536F"/>
    <w:multiLevelType w:val="hybridMultilevel"/>
    <w:tmpl w:val="34C842E6"/>
    <w:lvl w:ilvl="0" w:tplc="FB64F2E0">
      <w:start w:val="1"/>
      <w:numFmt w:val="lowerLetter"/>
      <w:lvlText w:val="%1)"/>
      <w:lvlJc w:val="left"/>
      <w:pPr>
        <w:ind w:left="779" w:hanging="31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24681382">
      <w:numFmt w:val="bullet"/>
      <w:lvlText w:val="•"/>
      <w:lvlJc w:val="left"/>
      <w:pPr>
        <w:ind w:left="1154" w:hanging="312"/>
      </w:pPr>
      <w:rPr>
        <w:rFonts w:hint="default"/>
        <w:lang w:val="en-US" w:eastAsia="en-US" w:bidi="en-US"/>
      </w:rPr>
    </w:lvl>
    <w:lvl w:ilvl="2" w:tplc="B20038F4">
      <w:numFmt w:val="bullet"/>
      <w:lvlText w:val="•"/>
      <w:lvlJc w:val="left"/>
      <w:pPr>
        <w:ind w:left="1528" w:hanging="312"/>
      </w:pPr>
      <w:rPr>
        <w:rFonts w:hint="default"/>
        <w:lang w:val="en-US" w:eastAsia="en-US" w:bidi="en-US"/>
      </w:rPr>
    </w:lvl>
    <w:lvl w:ilvl="3" w:tplc="748A6360">
      <w:numFmt w:val="bullet"/>
      <w:lvlText w:val="•"/>
      <w:lvlJc w:val="left"/>
      <w:pPr>
        <w:ind w:left="1902" w:hanging="312"/>
      </w:pPr>
      <w:rPr>
        <w:rFonts w:hint="default"/>
        <w:lang w:val="en-US" w:eastAsia="en-US" w:bidi="en-US"/>
      </w:rPr>
    </w:lvl>
    <w:lvl w:ilvl="4" w:tplc="BAB41CCE">
      <w:numFmt w:val="bullet"/>
      <w:lvlText w:val="•"/>
      <w:lvlJc w:val="left"/>
      <w:pPr>
        <w:ind w:left="2276" w:hanging="312"/>
      </w:pPr>
      <w:rPr>
        <w:rFonts w:hint="default"/>
        <w:lang w:val="en-US" w:eastAsia="en-US" w:bidi="en-US"/>
      </w:rPr>
    </w:lvl>
    <w:lvl w:ilvl="5" w:tplc="77D0D1FC">
      <w:numFmt w:val="bullet"/>
      <w:lvlText w:val="•"/>
      <w:lvlJc w:val="left"/>
      <w:pPr>
        <w:ind w:left="2651" w:hanging="312"/>
      </w:pPr>
      <w:rPr>
        <w:rFonts w:hint="default"/>
        <w:lang w:val="en-US" w:eastAsia="en-US" w:bidi="en-US"/>
      </w:rPr>
    </w:lvl>
    <w:lvl w:ilvl="6" w:tplc="51D6F0F2">
      <w:numFmt w:val="bullet"/>
      <w:lvlText w:val="•"/>
      <w:lvlJc w:val="left"/>
      <w:pPr>
        <w:ind w:left="3025" w:hanging="312"/>
      </w:pPr>
      <w:rPr>
        <w:rFonts w:hint="default"/>
        <w:lang w:val="en-US" w:eastAsia="en-US" w:bidi="en-US"/>
      </w:rPr>
    </w:lvl>
    <w:lvl w:ilvl="7" w:tplc="2EBC5568">
      <w:numFmt w:val="bullet"/>
      <w:lvlText w:val="•"/>
      <w:lvlJc w:val="left"/>
      <w:pPr>
        <w:ind w:left="3399" w:hanging="312"/>
      </w:pPr>
      <w:rPr>
        <w:rFonts w:hint="default"/>
        <w:lang w:val="en-US" w:eastAsia="en-US" w:bidi="en-US"/>
      </w:rPr>
    </w:lvl>
    <w:lvl w:ilvl="8" w:tplc="F2740886">
      <w:numFmt w:val="bullet"/>
      <w:lvlText w:val="•"/>
      <w:lvlJc w:val="left"/>
      <w:pPr>
        <w:ind w:left="3773" w:hanging="312"/>
      </w:pPr>
      <w:rPr>
        <w:rFonts w:hint="default"/>
        <w:lang w:val="en-US" w:eastAsia="en-US" w:bidi="en-U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BAF"/>
    <w:rsid w:val="00122BAF"/>
    <w:rsid w:val="001E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CEC90B-CB13-4BD3-87AD-CF2A77BD6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22BA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22BAF"/>
  </w:style>
  <w:style w:type="character" w:customStyle="1" w:styleId="BodyTextChar">
    <w:name w:val="Body Text Char"/>
    <w:basedOn w:val="DefaultParagraphFont"/>
    <w:link w:val="BodyText"/>
    <w:uiPriority w:val="1"/>
    <w:rsid w:val="00122BAF"/>
    <w:rPr>
      <w:rFonts w:ascii="Times New Roman" w:eastAsia="Times New Roman" w:hAnsi="Times New Roman" w:cs="Times New Roman"/>
      <w:lang w:val="en-US" w:bidi="en-US"/>
    </w:rPr>
  </w:style>
  <w:style w:type="paragraph" w:styleId="ListParagraph">
    <w:name w:val="List Paragraph"/>
    <w:basedOn w:val="Normal"/>
    <w:uiPriority w:val="1"/>
    <w:qFormat/>
    <w:rsid w:val="00122BAF"/>
    <w:pPr>
      <w:ind w:left="854" w:hanging="722"/>
      <w:jc w:val="both"/>
    </w:pPr>
  </w:style>
  <w:style w:type="paragraph" w:customStyle="1" w:styleId="TableParagraph">
    <w:name w:val="Table Paragraph"/>
    <w:basedOn w:val="Normal"/>
    <w:uiPriority w:val="1"/>
    <w:qFormat/>
    <w:rsid w:val="00122BAF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Gourahari Nayak</dc:creator>
  <cp:keywords/>
  <dc:description/>
  <cp:lastModifiedBy>Gourahari Nayak</cp:lastModifiedBy>
  <cp:revision>1</cp:revision>
  <dcterms:created xsi:type="dcterms:W3CDTF">2020-06-09T05:28:00Z</dcterms:created>
  <dcterms:modified xsi:type="dcterms:W3CDTF">2020-06-09T05:29:00Z</dcterms:modified>
</cp:coreProperties>
</file>